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37"/>
      </w:tblGrid>
      <w:tr w:rsidR="00D1406E" w:rsidRPr="00FD2F68" w14:paraId="6C162E66" w14:textId="77777777" w:rsidTr="003931D1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3AA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UBND TỈNH ĐỒNG THÁP</w:t>
            </w:r>
            <w:r w:rsidRPr="00FD2F68">
              <w:rPr>
                <w:b/>
                <w:bCs/>
                <w:sz w:val="28"/>
                <w:szCs w:val="28"/>
              </w:rPr>
              <w:br/>
              <w:t>SỞ GIÁO DỤC VÀ ĐÀO TẠO</w:t>
            </w:r>
          </w:p>
          <w:p w14:paraId="4B53B528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FD2F68">
              <w:rPr>
                <w:b/>
                <w:bCs/>
                <w:sz w:val="18"/>
                <w:szCs w:val="18"/>
                <w:vertAlign w:val="superscript"/>
              </w:rPr>
              <w:t>_______________________</w:t>
            </w:r>
          </w:p>
          <w:p w14:paraId="655997DF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25C5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D2F68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FD2F68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</w:p>
          <w:p w14:paraId="3AC9D5A7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FD2F68">
              <w:rPr>
                <w:b/>
                <w:bCs/>
                <w:sz w:val="18"/>
                <w:szCs w:val="18"/>
                <w:vertAlign w:val="superscript"/>
              </w:rPr>
              <w:t>_________________________________________________________</w:t>
            </w:r>
          </w:p>
        </w:tc>
      </w:tr>
      <w:tr w:rsidR="00D1406E" w:rsidRPr="00FD2F68" w14:paraId="482AFAA1" w14:textId="77777777" w:rsidTr="003931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EAE1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FD2F68">
              <w:rPr>
                <w:sz w:val="26"/>
                <w:szCs w:val="26"/>
              </w:rPr>
              <w:t>Số:       /SGDĐT-GDTrH-TX&amp;CN</w:t>
            </w:r>
          </w:p>
          <w:p w14:paraId="33857BE7" w14:textId="59422283" w:rsidR="00D1406E" w:rsidRPr="00FD2F68" w:rsidRDefault="00D1406E" w:rsidP="003931D1">
            <w:pPr>
              <w:pStyle w:val="TableParagraph"/>
              <w:spacing w:before="66"/>
              <w:ind w:right="143"/>
              <w:rPr>
                <w:sz w:val="26"/>
                <w:szCs w:val="26"/>
              </w:rPr>
            </w:pPr>
            <w:r>
              <w:rPr>
                <w:sz w:val="24"/>
              </w:rPr>
              <w:t>V/v thông báo danh mục sách giáo khoa lớp 6 theo Chương trình giáo dục phổ thông 2018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0F4E" w14:textId="7E64C2E4" w:rsidR="00D1406E" w:rsidRPr="00FD2F68" w:rsidRDefault="00D1406E" w:rsidP="003931D1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FD2F68">
              <w:rPr>
                <w:i/>
                <w:iCs/>
                <w:sz w:val="26"/>
                <w:szCs w:val="26"/>
              </w:rPr>
              <w:t>Đồng Tháp, ngày      tháng 3 năm 2021</w:t>
            </w:r>
          </w:p>
        </w:tc>
      </w:tr>
    </w:tbl>
    <w:p w14:paraId="33DDBD6B" w14:textId="77777777" w:rsidR="00D1406E" w:rsidRPr="00FD2F68" w:rsidRDefault="00D1406E" w:rsidP="00D1406E"/>
    <w:tbl>
      <w:tblPr>
        <w:tblStyle w:val="TableGrid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16"/>
      </w:tblGrid>
      <w:tr w:rsidR="00D1406E" w:rsidRPr="00FD2F68" w14:paraId="6A0D80E3" w14:textId="77777777" w:rsidTr="00D1406E">
        <w:tc>
          <w:tcPr>
            <w:tcW w:w="2518" w:type="dxa"/>
          </w:tcPr>
          <w:p w14:paraId="5CB87DEC" w14:textId="77777777" w:rsidR="00D1406E" w:rsidRPr="00FD2F68" w:rsidRDefault="00D1406E" w:rsidP="003931D1">
            <w:pPr>
              <w:jc w:val="right"/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Kính gửi:</w:t>
            </w:r>
          </w:p>
        </w:tc>
        <w:tc>
          <w:tcPr>
            <w:tcW w:w="6716" w:type="dxa"/>
          </w:tcPr>
          <w:p w14:paraId="2CC3AE96" w14:textId="77777777" w:rsidR="00D1406E" w:rsidRPr="00FD2F68" w:rsidRDefault="00D1406E" w:rsidP="003931D1">
            <w:pPr>
              <w:rPr>
                <w:sz w:val="28"/>
                <w:szCs w:val="28"/>
              </w:rPr>
            </w:pPr>
          </w:p>
        </w:tc>
      </w:tr>
      <w:tr w:rsidR="00D1406E" w:rsidRPr="00FD2F68" w14:paraId="75EC837B" w14:textId="77777777" w:rsidTr="00D1406E">
        <w:tc>
          <w:tcPr>
            <w:tcW w:w="2518" w:type="dxa"/>
          </w:tcPr>
          <w:p w14:paraId="231680D9" w14:textId="77777777" w:rsidR="00D1406E" w:rsidRPr="00FD2F68" w:rsidRDefault="00D1406E" w:rsidP="003931D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14:paraId="3159CC64" w14:textId="77777777" w:rsidR="00D1406E" w:rsidRPr="00FD2F68" w:rsidRDefault="00D1406E" w:rsidP="003931D1">
            <w:pPr>
              <w:tabs>
                <w:tab w:val="left" w:pos="3317"/>
              </w:tabs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- Phòng Giáo dục và Đào tạo huyện, thành phố;</w:t>
            </w:r>
          </w:p>
          <w:p w14:paraId="5D02DDB6" w14:textId="77777777" w:rsidR="00D1406E" w:rsidRPr="00FD2F68" w:rsidRDefault="00D1406E" w:rsidP="003931D1">
            <w:pPr>
              <w:tabs>
                <w:tab w:val="left" w:pos="3317"/>
              </w:tabs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- Các trường THCS-THPT;</w:t>
            </w:r>
          </w:p>
          <w:p w14:paraId="52007099" w14:textId="77777777" w:rsidR="00D1406E" w:rsidRPr="00FD2F68" w:rsidRDefault="00D1406E" w:rsidP="003931D1">
            <w:pPr>
              <w:tabs>
                <w:tab w:val="left" w:pos="3317"/>
              </w:tabs>
              <w:rPr>
                <w:sz w:val="28"/>
                <w:szCs w:val="28"/>
              </w:rPr>
            </w:pPr>
            <w:r w:rsidRPr="00FD2F68">
              <w:rPr>
                <w:sz w:val="28"/>
                <w:szCs w:val="28"/>
              </w:rPr>
              <w:t>- Trung tâm Huấn luyện và Thi đấu thể dục thể thao tỉnh.</w:t>
            </w:r>
          </w:p>
        </w:tc>
      </w:tr>
    </w:tbl>
    <w:p w14:paraId="0872B281" w14:textId="3336B2CA" w:rsidR="00D1406E" w:rsidRDefault="00D1406E"/>
    <w:p w14:paraId="5E78CE1D" w14:textId="58C5BE44" w:rsidR="000365CA" w:rsidRDefault="005D1926">
      <w:pPr>
        <w:pStyle w:val="BodyText"/>
        <w:spacing w:before="189" w:line="276" w:lineRule="auto"/>
        <w:ind w:left="522" w:right="331" w:firstLine="719"/>
        <w:jc w:val="both"/>
      </w:pPr>
      <w:bookmarkStart w:id="0" w:name="_Hlk66369779"/>
      <w:r>
        <w:t>Ngày 09 tháng 02 năm 2021 Bộ trưởng Bộ Giáo dục và Đào tạo (GDĐT) đã</w:t>
      </w:r>
      <w:r>
        <w:rPr>
          <w:spacing w:val="-10"/>
        </w:rPr>
        <w:t xml:space="preserve"> </w:t>
      </w:r>
      <w:r>
        <w:t>ban</w:t>
      </w:r>
      <w:r>
        <w:rPr>
          <w:spacing w:val="-9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Quyết</w:t>
      </w:r>
      <w:r>
        <w:rPr>
          <w:spacing w:val="-9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718/QĐ-BGDĐT</w:t>
      </w:r>
      <w:r>
        <w:rPr>
          <w:spacing w:val="-10"/>
        </w:rPr>
        <w:t xml:space="preserve"> </w:t>
      </w:r>
      <w:r>
        <w:t>phê</w:t>
      </w:r>
      <w:r>
        <w:rPr>
          <w:spacing w:val="-10"/>
        </w:rPr>
        <w:t xml:space="preserve"> </w:t>
      </w:r>
      <w:r>
        <w:t>duyệt</w:t>
      </w:r>
      <w:r>
        <w:rPr>
          <w:spacing w:val="-9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mục</w:t>
      </w:r>
      <w:r>
        <w:rPr>
          <w:spacing w:val="-10"/>
        </w:rPr>
        <w:t xml:space="preserve"> </w:t>
      </w:r>
      <w:r>
        <w:t>sách</w:t>
      </w:r>
      <w:r>
        <w:rPr>
          <w:spacing w:val="-8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t xml:space="preserve">khoa lớp 6 </w:t>
      </w:r>
      <w:r w:rsidR="00D1406E" w:rsidRPr="00564DE0">
        <w:t xml:space="preserve">(SGK) </w:t>
      </w:r>
      <w:r>
        <w:t>sử dụng trong các cơ sở giáo dục phổ</w:t>
      </w:r>
      <w:r>
        <w:rPr>
          <w:spacing w:val="-9"/>
        </w:rPr>
        <w:t xml:space="preserve"> </w:t>
      </w:r>
      <w:r>
        <w:t>thông.</w:t>
      </w:r>
    </w:p>
    <w:p w14:paraId="5B8808AC" w14:textId="13177C48" w:rsidR="000365CA" w:rsidRDefault="005D1926">
      <w:pPr>
        <w:pStyle w:val="BodyText"/>
        <w:spacing w:before="121" w:line="276" w:lineRule="auto"/>
        <w:ind w:left="522" w:right="327" w:firstLine="719"/>
        <w:jc w:val="both"/>
      </w:pPr>
      <w:r>
        <w:t>Sở GDĐT chuyển tiếp Quyết định số 718/QĐ-BGDĐT đến các phòng GDĐT</w:t>
      </w:r>
      <w:r w:rsidR="00500D9E" w:rsidRPr="00564DE0">
        <w:t xml:space="preserve">, trường THCS-THPT </w:t>
      </w:r>
      <w:r>
        <w:t>để</w:t>
      </w:r>
      <w:r>
        <w:rPr>
          <w:spacing w:val="-4"/>
        </w:rPr>
        <w:t xml:space="preserve"> </w:t>
      </w:r>
      <w:r>
        <w:t>phổ</w:t>
      </w:r>
      <w:r>
        <w:rPr>
          <w:spacing w:val="-7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rộng</w:t>
      </w:r>
      <w:r>
        <w:rPr>
          <w:spacing w:val="-5"/>
        </w:rPr>
        <w:t xml:space="preserve"> </w:t>
      </w:r>
      <w:r>
        <w:t>rãi</w:t>
      </w:r>
      <w:r>
        <w:rPr>
          <w:spacing w:val="-6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cán</w:t>
      </w:r>
      <w:r>
        <w:rPr>
          <w:spacing w:val="-6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quản</w:t>
      </w:r>
      <w:r>
        <w:rPr>
          <w:spacing w:val="-5"/>
        </w:rPr>
        <w:t xml:space="preserve"> </w:t>
      </w:r>
      <w:r>
        <w:t>lý,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viên,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viên,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và cộng đồng trên địa bàn được</w:t>
      </w:r>
      <w:r>
        <w:rPr>
          <w:spacing w:val="-10"/>
        </w:rPr>
        <w:t xml:space="preserve"> </w:t>
      </w:r>
      <w:r>
        <w:t>biết.</w:t>
      </w:r>
    </w:p>
    <w:p w14:paraId="0CC19C08" w14:textId="4688F335" w:rsidR="000365CA" w:rsidRDefault="005D1926">
      <w:pPr>
        <w:pStyle w:val="BodyText"/>
        <w:spacing w:before="121" w:line="276" w:lineRule="auto"/>
        <w:ind w:left="522" w:right="327" w:firstLine="719"/>
        <w:jc w:val="both"/>
      </w:pPr>
      <w:r>
        <w:t>Sở</w:t>
      </w:r>
      <w:r>
        <w:rPr>
          <w:spacing w:val="-9"/>
        </w:rPr>
        <w:t xml:space="preserve"> </w:t>
      </w:r>
      <w:r w:rsidR="00D1406E" w:rsidRPr="00564DE0">
        <w:t>GDĐT</w:t>
      </w:r>
      <w:r>
        <w:rPr>
          <w:spacing w:val="-10"/>
        </w:rPr>
        <w:t xml:space="preserve"> </w:t>
      </w:r>
      <w:r>
        <w:t>sẽ</w:t>
      </w:r>
      <w:r>
        <w:rPr>
          <w:spacing w:val="-11"/>
        </w:rPr>
        <w:t xml:space="preserve"> </w:t>
      </w:r>
      <w:r>
        <w:t>phối</w:t>
      </w:r>
      <w:r>
        <w:rPr>
          <w:spacing w:val="-11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nhà</w:t>
      </w:r>
      <w:r>
        <w:rPr>
          <w:spacing w:val="-11"/>
        </w:rPr>
        <w:t xml:space="preserve"> </w:t>
      </w:r>
      <w:r>
        <w:t>xuất</w:t>
      </w:r>
      <w:r>
        <w:rPr>
          <w:spacing w:val="-10"/>
        </w:rPr>
        <w:t xml:space="preserve"> </w:t>
      </w:r>
      <w:r>
        <w:t>bản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 w:rsidR="00D1406E" w:rsidRPr="00564DE0">
        <w:t>SGK</w:t>
      </w:r>
      <w:r>
        <w:t xml:space="preserve"> đã được Bộ trưởng Bộ GDĐT phê duyệt cung cấp đầy đủ </w:t>
      </w:r>
      <w:r w:rsidR="00D1406E" w:rsidRPr="00564DE0">
        <w:t>SGK</w:t>
      </w:r>
      <w:r>
        <w:t xml:space="preserve"> (bản giấy hoặc bản điện tử) cho các cơ sở giáo dục </w:t>
      </w:r>
      <w:r w:rsidR="00500D9E" w:rsidRPr="00564DE0">
        <w:t xml:space="preserve">có </w:t>
      </w:r>
      <w:r>
        <w:t>cấp THCS trong tỉnh</w:t>
      </w:r>
      <w:r>
        <w:rPr>
          <w:spacing w:val="-12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tiếp</w:t>
      </w:r>
      <w:r>
        <w:rPr>
          <w:spacing w:val="-8"/>
        </w:rPr>
        <w:t xml:space="preserve"> </w:t>
      </w:r>
      <w:r>
        <w:t>cận,</w:t>
      </w:r>
      <w:r>
        <w:rPr>
          <w:spacing w:val="-11"/>
        </w:rPr>
        <w:t xml:space="preserve"> </w:t>
      </w:r>
      <w:r>
        <w:t>nghiên</w:t>
      </w:r>
      <w:r>
        <w:rPr>
          <w:spacing w:val="-8"/>
        </w:rPr>
        <w:t xml:space="preserve"> </w:t>
      </w:r>
      <w:r>
        <w:t>cứu,</w:t>
      </w:r>
      <w:r>
        <w:rPr>
          <w:spacing w:val="-10"/>
        </w:rPr>
        <w:t xml:space="preserve"> </w:t>
      </w:r>
      <w:r>
        <w:t>chuẩn</w:t>
      </w:r>
      <w:r>
        <w:rPr>
          <w:spacing w:val="-9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lựa</w:t>
      </w:r>
      <w:r>
        <w:rPr>
          <w:spacing w:val="-10"/>
        </w:rPr>
        <w:t xml:space="preserve"> </w:t>
      </w:r>
      <w:r>
        <w:t>chọn</w:t>
      </w:r>
      <w:r>
        <w:rPr>
          <w:spacing w:val="-8"/>
        </w:rPr>
        <w:t xml:space="preserve"> </w:t>
      </w:r>
      <w:r w:rsidR="00D1406E" w:rsidRPr="00564DE0">
        <w:t>SGK</w:t>
      </w:r>
      <w:r>
        <w:rPr>
          <w:spacing w:val="-9"/>
        </w:rPr>
        <w:t xml:space="preserve"> </w:t>
      </w:r>
      <w:r>
        <w:t>theo quy</w:t>
      </w:r>
      <w:r>
        <w:rPr>
          <w:spacing w:val="-10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25/2020/TT-BGDĐT</w:t>
      </w:r>
      <w:r>
        <w:rPr>
          <w:spacing w:val="-8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tháng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 xml:space="preserve">Bộ trưởng Bộ </w:t>
      </w:r>
      <w:r w:rsidR="00D1406E" w:rsidRPr="00564DE0">
        <w:t>GDĐT</w:t>
      </w:r>
      <w:r>
        <w:t xml:space="preserve"> Quy định việc lựa chọn </w:t>
      </w:r>
      <w:r w:rsidR="00D1406E" w:rsidRPr="00564DE0">
        <w:t>SGK</w:t>
      </w:r>
      <w:r>
        <w:t xml:space="preserve"> sử dụng trong các cơ sở giáo dục phổ</w:t>
      </w:r>
      <w:r>
        <w:rPr>
          <w:spacing w:val="-8"/>
        </w:rPr>
        <w:t xml:space="preserve"> </w:t>
      </w:r>
      <w:r>
        <w:t>thông.</w:t>
      </w:r>
    </w:p>
    <w:p w14:paraId="7A8BA7CF" w14:textId="39B4D61B" w:rsidR="000365CA" w:rsidRDefault="005D1926">
      <w:pPr>
        <w:pStyle w:val="BodyText"/>
        <w:spacing w:before="120" w:line="276" w:lineRule="auto"/>
        <w:ind w:left="522" w:right="326" w:firstLine="719"/>
        <w:jc w:val="both"/>
      </w:pPr>
      <w:r>
        <w:t>Để đảm bảo thời gian thông báo danh mục sách giáo khoa được phê duyệt đến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5"/>
        </w:rPr>
        <w:t xml:space="preserve"> </w:t>
      </w:r>
      <w:r>
        <w:t>phổ</w:t>
      </w:r>
      <w:r>
        <w:rPr>
          <w:spacing w:val="-4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địa</w:t>
      </w:r>
      <w:r>
        <w:rPr>
          <w:spacing w:val="-7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chậm</w:t>
      </w:r>
      <w:r>
        <w:rPr>
          <w:spacing w:val="-9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(năm)</w:t>
      </w:r>
      <w:r>
        <w:rPr>
          <w:spacing w:val="-4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trước thời điểm bắt đầu năm học mới;</w:t>
      </w:r>
      <w:r>
        <w:rPr>
          <w:spacing w:val="-7"/>
        </w:rPr>
        <w:t xml:space="preserve"> </w:t>
      </w:r>
      <w:r>
        <w:t>Sở</w:t>
      </w:r>
      <w:r>
        <w:rPr>
          <w:spacing w:val="-7"/>
        </w:rPr>
        <w:t xml:space="preserve"> </w:t>
      </w:r>
      <w:r>
        <w:t>GDĐT</w:t>
      </w:r>
      <w:r>
        <w:rPr>
          <w:spacing w:val="-5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phòng</w:t>
      </w:r>
      <w:r>
        <w:rPr>
          <w:spacing w:val="-6"/>
        </w:rPr>
        <w:t xml:space="preserve"> </w:t>
      </w:r>
      <w:r>
        <w:t>GDĐT</w:t>
      </w:r>
      <w:r>
        <w:rPr>
          <w:spacing w:val="-1"/>
        </w:rPr>
        <w:t xml:space="preserve"> </w:t>
      </w:r>
      <w:r>
        <w:t>căn</w:t>
      </w:r>
      <w:r>
        <w:rPr>
          <w:spacing w:val="-5"/>
        </w:rPr>
        <w:t xml:space="preserve"> </w:t>
      </w:r>
      <w:r>
        <w:t>cứ</w:t>
      </w:r>
      <w:r>
        <w:rPr>
          <w:spacing w:val="-7"/>
        </w:rPr>
        <w:t xml:space="preserve"> </w:t>
      </w:r>
      <w:r>
        <w:t>Khoản</w:t>
      </w:r>
      <w:r>
        <w:rPr>
          <w:spacing w:val="-4"/>
        </w:rPr>
        <w:t xml:space="preserve"> </w:t>
      </w:r>
      <w:r>
        <w:t xml:space="preserve">1, Khoản 2 Điều 8 của Thông tư số 25/2020/TT-BGDĐT </w:t>
      </w:r>
      <w:r w:rsidR="00500D9E" w:rsidRPr="00564DE0">
        <w:t xml:space="preserve">và Công văn 328/SGDĐT-GDTrH-TX&amp;CN ngày 11/3/2021 của Sở GDĐT về việc hướng dẫn lựa chọn </w:t>
      </w:r>
      <w:r w:rsidR="00D1406E" w:rsidRPr="00564DE0">
        <w:t>SGK</w:t>
      </w:r>
      <w:r w:rsidR="00500D9E" w:rsidRPr="00564DE0">
        <w:t xml:space="preserve"> năm học 2021-2022 khẩn trương</w:t>
      </w:r>
      <w:r>
        <w:t xml:space="preserve"> triển khai thực</w:t>
      </w:r>
      <w:r>
        <w:rPr>
          <w:spacing w:val="-13"/>
        </w:rPr>
        <w:t xml:space="preserve"> </w:t>
      </w:r>
      <w:r>
        <w:t>hiện./.</w:t>
      </w:r>
    </w:p>
    <w:tbl>
      <w:tblPr>
        <w:tblW w:w="9893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3379"/>
      </w:tblGrid>
      <w:tr w:rsidR="00D1406E" w:rsidRPr="00FD2F68" w14:paraId="6A8A3354" w14:textId="77777777" w:rsidTr="00D1406E">
        <w:trPr>
          <w:trHeight w:val="2439"/>
        </w:trPr>
        <w:tc>
          <w:tcPr>
            <w:tcW w:w="6514" w:type="dxa"/>
          </w:tcPr>
          <w:p w14:paraId="55DB83D3" w14:textId="77777777" w:rsidR="00D1406E" w:rsidRPr="00FD2F68" w:rsidRDefault="00D1406E" w:rsidP="003931D1">
            <w:pPr>
              <w:pStyle w:val="TableParagraph"/>
              <w:spacing w:before="2"/>
              <w:rPr>
                <w:i/>
                <w:sz w:val="34"/>
              </w:rPr>
            </w:pPr>
          </w:p>
          <w:p w14:paraId="615D249F" w14:textId="77777777" w:rsidR="00D1406E" w:rsidRPr="00FD2F68" w:rsidRDefault="00D1406E" w:rsidP="00D1406E">
            <w:pPr>
              <w:pStyle w:val="TableParagraph"/>
              <w:spacing w:line="275" w:lineRule="exact"/>
              <w:ind w:left="1" w:hanging="1"/>
              <w:jc w:val="left"/>
              <w:rPr>
                <w:b/>
                <w:i/>
                <w:sz w:val="24"/>
              </w:rPr>
            </w:pPr>
            <w:r w:rsidRPr="00FD2F68">
              <w:rPr>
                <w:b/>
                <w:i/>
                <w:sz w:val="24"/>
              </w:rPr>
              <w:t>Nơi nhận:</w:t>
            </w:r>
          </w:p>
          <w:p w14:paraId="4D52CF9D" w14:textId="77777777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>Như trên (để thực hiện);</w:t>
            </w:r>
          </w:p>
          <w:p w14:paraId="7CF38A6E" w14:textId="77777777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>UBND tỉnh (để báo cáo);</w:t>
            </w:r>
          </w:p>
          <w:p w14:paraId="26129A58" w14:textId="77777777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>UBND các huyện, thành phố (để phối hợp);</w:t>
            </w:r>
          </w:p>
          <w:p w14:paraId="32B7E987" w14:textId="77777777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52" w:lineRule="exact"/>
              <w:ind w:left="324" w:hanging="125"/>
              <w:jc w:val="left"/>
            </w:pPr>
            <w:r w:rsidRPr="00FD2F68">
              <w:t>Lãnh đạo Sở (để báocáo);</w:t>
            </w:r>
          </w:p>
          <w:p w14:paraId="5486A56D" w14:textId="77777777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5"/>
              <w:jc w:val="left"/>
            </w:pPr>
            <w:r w:rsidRPr="00FD2F68">
              <w:t>Lưu: VT, phòng GDTrH-TX&amp;CN, Th 02b.</w:t>
            </w:r>
          </w:p>
        </w:tc>
        <w:tc>
          <w:tcPr>
            <w:tcW w:w="3379" w:type="dxa"/>
          </w:tcPr>
          <w:p w14:paraId="4C852814" w14:textId="77777777" w:rsidR="00D1406E" w:rsidRPr="00FD2F68" w:rsidRDefault="00D1406E" w:rsidP="003931D1">
            <w:pPr>
              <w:pStyle w:val="TableParagraph"/>
              <w:rPr>
                <w:b/>
                <w:sz w:val="28"/>
                <w:szCs w:val="28"/>
              </w:rPr>
            </w:pPr>
            <w:r w:rsidRPr="00FD2F68">
              <w:rPr>
                <w:b/>
                <w:sz w:val="28"/>
                <w:szCs w:val="28"/>
              </w:rPr>
              <w:t xml:space="preserve">KT. GIÁM ĐỐC </w:t>
            </w:r>
          </w:p>
          <w:p w14:paraId="2B5F6D2B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  <w:r w:rsidRPr="00FD2F68">
              <w:rPr>
                <w:b/>
                <w:sz w:val="28"/>
                <w:szCs w:val="28"/>
              </w:rPr>
              <w:t>PHÓ GIÁM</w:t>
            </w:r>
            <w:r w:rsidRPr="00FD2F68">
              <w:rPr>
                <w:b/>
                <w:spacing w:val="-5"/>
                <w:sz w:val="28"/>
                <w:szCs w:val="28"/>
              </w:rPr>
              <w:t>ĐỐC</w:t>
            </w:r>
          </w:p>
          <w:p w14:paraId="06EBE5AA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22D65279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1326A9C7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4D4BE526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6D163A63" w14:textId="77777777" w:rsidR="00D1406E" w:rsidRPr="00FD2F68" w:rsidRDefault="00D1406E" w:rsidP="003931D1">
            <w:pPr>
              <w:pStyle w:val="TableParagraph"/>
              <w:rPr>
                <w:b/>
                <w:sz w:val="28"/>
                <w:szCs w:val="28"/>
              </w:rPr>
            </w:pPr>
            <w:r w:rsidRPr="00FD2F68">
              <w:rPr>
                <w:b/>
                <w:spacing w:val="-5"/>
                <w:sz w:val="28"/>
                <w:szCs w:val="28"/>
              </w:rPr>
              <w:t>Nguyễn Thanh Danh</w:t>
            </w:r>
          </w:p>
          <w:p w14:paraId="08CAE39A" w14:textId="77777777" w:rsidR="00D1406E" w:rsidRPr="00FD2F68" w:rsidRDefault="00D1406E" w:rsidP="003931D1">
            <w:pPr>
              <w:pStyle w:val="TableParagraph"/>
              <w:spacing w:line="279" w:lineRule="exact"/>
              <w:ind w:left="1057"/>
              <w:rPr>
                <w:b/>
                <w:sz w:val="26"/>
              </w:rPr>
            </w:pPr>
          </w:p>
        </w:tc>
      </w:tr>
      <w:bookmarkEnd w:id="0"/>
    </w:tbl>
    <w:p w14:paraId="7F451AD8" w14:textId="77777777" w:rsidR="005D1926" w:rsidRDefault="005D1926" w:rsidP="00D1406E"/>
    <w:sectPr w:rsidR="005D1926" w:rsidSect="00D1406E">
      <w:type w:val="continuous"/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82584"/>
    <w:multiLevelType w:val="hybridMultilevel"/>
    <w:tmpl w:val="07F6DCA0"/>
    <w:lvl w:ilvl="0" w:tplc="759A315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6D01452">
      <w:numFmt w:val="bullet"/>
      <w:lvlText w:val="•"/>
      <w:lvlJc w:val="left"/>
      <w:pPr>
        <w:ind w:left="753" w:hanging="128"/>
      </w:pPr>
      <w:rPr>
        <w:rFonts w:hint="default"/>
        <w:lang w:eastAsia="en-US" w:bidi="ar-SA"/>
      </w:rPr>
    </w:lvl>
    <w:lvl w:ilvl="2" w:tplc="FF0ABE48">
      <w:numFmt w:val="bullet"/>
      <w:lvlText w:val="•"/>
      <w:lvlJc w:val="left"/>
      <w:pPr>
        <w:ind w:left="1186" w:hanging="128"/>
      </w:pPr>
      <w:rPr>
        <w:rFonts w:hint="default"/>
        <w:lang w:eastAsia="en-US" w:bidi="ar-SA"/>
      </w:rPr>
    </w:lvl>
    <w:lvl w:ilvl="3" w:tplc="8820C622">
      <w:numFmt w:val="bullet"/>
      <w:lvlText w:val="•"/>
      <w:lvlJc w:val="left"/>
      <w:pPr>
        <w:ind w:left="1620" w:hanging="128"/>
      </w:pPr>
      <w:rPr>
        <w:rFonts w:hint="default"/>
        <w:lang w:eastAsia="en-US" w:bidi="ar-SA"/>
      </w:rPr>
    </w:lvl>
    <w:lvl w:ilvl="4" w:tplc="7AE413A4">
      <w:numFmt w:val="bullet"/>
      <w:lvlText w:val="•"/>
      <w:lvlJc w:val="left"/>
      <w:pPr>
        <w:ind w:left="2053" w:hanging="128"/>
      </w:pPr>
      <w:rPr>
        <w:rFonts w:hint="default"/>
        <w:lang w:eastAsia="en-US" w:bidi="ar-SA"/>
      </w:rPr>
    </w:lvl>
    <w:lvl w:ilvl="5" w:tplc="D98A2A34">
      <w:numFmt w:val="bullet"/>
      <w:lvlText w:val="•"/>
      <w:lvlJc w:val="left"/>
      <w:pPr>
        <w:ind w:left="2487" w:hanging="128"/>
      </w:pPr>
      <w:rPr>
        <w:rFonts w:hint="default"/>
        <w:lang w:eastAsia="en-US" w:bidi="ar-SA"/>
      </w:rPr>
    </w:lvl>
    <w:lvl w:ilvl="6" w:tplc="989AEF00">
      <w:numFmt w:val="bullet"/>
      <w:lvlText w:val="•"/>
      <w:lvlJc w:val="left"/>
      <w:pPr>
        <w:ind w:left="2920" w:hanging="128"/>
      </w:pPr>
      <w:rPr>
        <w:rFonts w:hint="default"/>
        <w:lang w:eastAsia="en-US" w:bidi="ar-SA"/>
      </w:rPr>
    </w:lvl>
    <w:lvl w:ilvl="7" w:tplc="658E75D4">
      <w:numFmt w:val="bullet"/>
      <w:lvlText w:val="•"/>
      <w:lvlJc w:val="left"/>
      <w:pPr>
        <w:ind w:left="3353" w:hanging="128"/>
      </w:pPr>
      <w:rPr>
        <w:rFonts w:hint="default"/>
        <w:lang w:eastAsia="en-US" w:bidi="ar-SA"/>
      </w:rPr>
    </w:lvl>
    <w:lvl w:ilvl="8" w:tplc="BC1C01C0">
      <w:numFmt w:val="bullet"/>
      <w:lvlText w:val="•"/>
      <w:lvlJc w:val="left"/>
      <w:pPr>
        <w:ind w:left="3787" w:hanging="128"/>
      </w:pPr>
      <w:rPr>
        <w:rFonts w:hint="default"/>
        <w:lang w:eastAsia="en-US" w:bidi="ar-SA"/>
      </w:rPr>
    </w:lvl>
  </w:abstractNum>
  <w:abstractNum w:abstractNumId="1" w15:restartNumberingAfterBreak="0">
    <w:nsid w:val="5D292AF8"/>
    <w:multiLevelType w:val="hybridMultilevel"/>
    <w:tmpl w:val="33F0D878"/>
    <w:lvl w:ilvl="0" w:tplc="1B0AC63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8EF1BA">
      <w:numFmt w:val="bullet"/>
      <w:lvlText w:val="•"/>
      <w:lvlJc w:val="left"/>
      <w:pPr>
        <w:ind w:left="707" w:hanging="128"/>
      </w:pPr>
      <w:rPr>
        <w:rFonts w:hint="default"/>
        <w:lang w:val="vi" w:eastAsia="en-US" w:bidi="ar-SA"/>
      </w:rPr>
    </w:lvl>
    <w:lvl w:ilvl="2" w:tplc="29CE4436">
      <w:numFmt w:val="bullet"/>
      <w:lvlText w:val="•"/>
      <w:lvlJc w:val="left"/>
      <w:pPr>
        <w:ind w:left="1095" w:hanging="128"/>
      </w:pPr>
      <w:rPr>
        <w:rFonts w:hint="default"/>
        <w:lang w:val="vi" w:eastAsia="en-US" w:bidi="ar-SA"/>
      </w:rPr>
    </w:lvl>
    <w:lvl w:ilvl="3" w:tplc="16E6B33E">
      <w:numFmt w:val="bullet"/>
      <w:lvlText w:val="•"/>
      <w:lvlJc w:val="left"/>
      <w:pPr>
        <w:ind w:left="1482" w:hanging="128"/>
      </w:pPr>
      <w:rPr>
        <w:rFonts w:hint="default"/>
        <w:lang w:val="vi" w:eastAsia="en-US" w:bidi="ar-SA"/>
      </w:rPr>
    </w:lvl>
    <w:lvl w:ilvl="4" w:tplc="CC3213B0">
      <w:numFmt w:val="bullet"/>
      <w:lvlText w:val="•"/>
      <w:lvlJc w:val="left"/>
      <w:pPr>
        <w:ind w:left="1870" w:hanging="128"/>
      </w:pPr>
      <w:rPr>
        <w:rFonts w:hint="default"/>
        <w:lang w:val="vi" w:eastAsia="en-US" w:bidi="ar-SA"/>
      </w:rPr>
    </w:lvl>
    <w:lvl w:ilvl="5" w:tplc="9C82AF0C">
      <w:numFmt w:val="bullet"/>
      <w:lvlText w:val="•"/>
      <w:lvlJc w:val="left"/>
      <w:pPr>
        <w:ind w:left="2258" w:hanging="128"/>
      </w:pPr>
      <w:rPr>
        <w:rFonts w:hint="default"/>
        <w:lang w:val="vi" w:eastAsia="en-US" w:bidi="ar-SA"/>
      </w:rPr>
    </w:lvl>
    <w:lvl w:ilvl="6" w:tplc="0F78B496">
      <w:numFmt w:val="bullet"/>
      <w:lvlText w:val="•"/>
      <w:lvlJc w:val="left"/>
      <w:pPr>
        <w:ind w:left="2645" w:hanging="128"/>
      </w:pPr>
      <w:rPr>
        <w:rFonts w:hint="default"/>
        <w:lang w:val="vi" w:eastAsia="en-US" w:bidi="ar-SA"/>
      </w:rPr>
    </w:lvl>
    <w:lvl w:ilvl="7" w:tplc="755E07A8">
      <w:numFmt w:val="bullet"/>
      <w:lvlText w:val="•"/>
      <w:lvlJc w:val="left"/>
      <w:pPr>
        <w:ind w:left="3033" w:hanging="128"/>
      </w:pPr>
      <w:rPr>
        <w:rFonts w:hint="default"/>
        <w:lang w:val="vi" w:eastAsia="en-US" w:bidi="ar-SA"/>
      </w:rPr>
    </w:lvl>
    <w:lvl w:ilvl="8" w:tplc="3C60B66C">
      <w:numFmt w:val="bullet"/>
      <w:lvlText w:val="•"/>
      <w:lvlJc w:val="left"/>
      <w:pPr>
        <w:ind w:left="3420" w:hanging="12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CA"/>
    <w:rsid w:val="000365CA"/>
    <w:rsid w:val="00500D9E"/>
    <w:rsid w:val="00564DE0"/>
    <w:rsid w:val="005D1926"/>
    <w:rsid w:val="00905653"/>
    <w:rsid w:val="00D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D4BB"/>
  <w15:docId w15:val="{66CEBB2E-2EF4-40FA-81C5-CB0B36F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8"/>
      <w:jc w:val="center"/>
    </w:pPr>
  </w:style>
  <w:style w:type="table" w:styleId="TableGrid">
    <w:name w:val="Table Grid"/>
    <w:basedOn w:val="TableNormal"/>
    <w:uiPriority w:val="39"/>
    <w:rsid w:val="00D1406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               CỘNG HÒA XÃ HỘI CHỦ NGHĨA VIỆT NAM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               CỘNG HÒA XÃ HỘI CHỦ NGHĨA VIỆT NAM</dc:title>
  <dc:creator>nscung</dc:creator>
  <cp:lastModifiedBy>Tieu Phuoc Thua</cp:lastModifiedBy>
  <cp:revision>4</cp:revision>
  <dcterms:created xsi:type="dcterms:W3CDTF">2021-03-11T08:22:00Z</dcterms:created>
  <dcterms:modified xsi:type="dcterms:W3CDTF">2021-03-11T09:58:00Z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